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3E78CD">
        <w:rPr>
          <w:sz w:val="24"/>
          <w:szCs w:val="24"/>
        </w:rPr>
        <w:t>Skipton</w:t>
      </w:r>
    </w:p>
    <w:p w:rsidR="00C1109B" w:rsidRDefault="00CD432F" w:rsidP="00CD432F">
      <w:pPr>
        <w:rPr>
          <w:sz w:val="24"/>
          <w:szCs w:val="24"/>
        </w:rPr>
      </w:pPr>
      <w:r>
        <w:rPr>
          <w:b/>
          <w:sz w:val="24"/>
          <w:szCs w:val="24"/>
        </w:rPr>
        <w:t>Site Number and Address:</w:t>
      </w:r>
      <w:r w:rsidR="003E78CD">
        <w:rPr>
          <w:b/>
          <w:sz w:val="24"/>
          <w:szCs w:val="24"/>
        </w:rPr>
        <w:t xml:space="preserve"> </w:t>
      </w:r>
      <w:r>
        <w:rPr>
          <w:b/>
          <w:sz w:val="24"/>
          <w:szCs w:val="24"/>
        </w:rPr>
        <w:t xml:space="preserve"> </w:t>
      </w:r>
      <w:r w:rsidR="00CD34A0" w:rsidRPr="00CD34A0">
        <w:rPr>
          <w:sz w:val="24"/>
          <w:szCs w:val="24"/>
        </w:rPr>
        <w:t>SK082;</w:t>
      </w:r>
      <w:r w:rsidR="00CD34A0">
        <w:rPr>
          <w:b/>
          <w:sz w:val="24"/>
          <w:szCs w:val="24"/>
        </w:rPr>
        <w:t xml:space="preserve"> </w:t>
      </w:r>
      <w:r w:rsidR="003E78CD" w:rsidRPr="003E78CD">
        <w:rPr>
          <w:sz w:val="24"/>
          <w:szCs w:val="24"/>
        </w:rPr>
        <w:t>Land</w:t>
      </w:r>
      <w:r w:rsidR="003E78CD" w:rsidRPr="003E78CD">
        <w:rPr>
          <w:b/>
          <w:sz w:val="24"/>
          <w:szCs w:val="24"/>
        </w:rPr>
        <w:t xml:space="preserve"> </w:t>
      </w:r>
      <w:r w:rsidR="003E78CD" w:rsidRPr="003E78CD">
        <w:rPr>
          <w:sz w:val="24"/>
          <w:szCs w:val="24"/>
        </w:rPr>
        <w:t>bounded by White Hills Land and A65</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B86A38">
      <w:pPr>
        <w:rPr>
          <w:b/>
          <w:i/>
        </w:rPr>
      </w:pPr>
      <w:r w:rsidRPr="00B86A38">
        <w:rPr>
          <w:noProof/>
          <w:lang w:eastAsia="en-GB"/>
        </w:rPr>
        <w:drawing>
          <wp:inline distT="0" distB="0" distL="0" distR="0" wp14:anchorId="245D6FB4" wp14:editId="2F93117A">
            <wp:extent cx="8863330" cy="256513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2565138"/>
                    </a:xfrm>
                    <a:prstGeom prst="rect">
                      <a:avLst/>
                    </a:prstGeom>
                    <a:noFill/>
                    <a:ln>
                      <a:noFill/>
                    </a:ln>
                  </pic:spPr>
                </pic:pic>
              </a:graphicData>
            </a:graphic>
          </wp:inline>
        </w:drawing>
      </w:r>
    </w:p>
    <w:p w:rsidR="009F44F0" w:rsidRPr="00C1109B" w:rsidRDefault="00C1109B" w:rsidP="00B86A38">
      <w:pPr>
        <w:jc w:val="both"/>
        <w:rPr>
          <w:b/>
        </w:rPr>
      </w:pPr>
      <w:r w:rsidRPr="00C1109B">
        <w:rPr>
          <w:b/>
          <w:i/>
        </w:rPr>
        <w:lastRenderedPageBreak/>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AF5367">
        <w:t>eferred Sites list for Skipton</w:t>
      </w:r>
      <w:r>
        <w:t>, subject to Stage 2 analysis below, and also a possible comparison of the site’s merits with oth</w:t>
      </w:r>
      <w:r w:rsidR="00AF5367">
        <w:t>er sustainable sites in Skipton</w:t>
      </w:r>
      <w:r>
        <w:t xml:space="preserve"> if a surplus of sites exists. </w:t>
      </w: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AF5367"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AF5367"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AF5367" w:rsidP="00B21C52">
            <w:pPr>
              <w:jc w:val="center"/>
              <w:rPr>
                <w:b/>
              </w:rPr>
            </w:pPr>
            <w:r>
              <w:rPr>
                <w:b/>
              </w:rPr>
              <w:t>North 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AF5367"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AF5367" w:rsidP="00B21C52">
            <w:pPr>
              <w:jc w:val="center"/>
              <w:rPr>
                <w:b/>
              </w:rPr>
            </w:pPr>
            <w:r>
              <w:rPr>
                <w:b/>
              </w:rPr>
              <w:t>North 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AF5367"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AF5367">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Default="00AF5367">
      <w:pPr>
        <w:rPr>
          <w:b/>
          <w:sz w:val="24"/>
          <w:szCs w:val="24"/>
          <w:u w:val="single"/>
        </w:rPr>
      </w:pPr>
      <w:r>
        <w:rPr>
          <w:b/>
          <w:sz w:val="24"/>
          <w:szCs w:val="24"/>
          <w:u w:val="single"/>
        </w:rPr>
        <w:t>Narrative of Site Analysis</w:t>
      </w:r>
    </w:p>
    <w:p w:rsidR="00B86A38" w:rsidRDefault="00FE1DE6" w:rsidP="00FE1DE6">
      <w:pPr>
        <w:jc w:val="both"/>
      </w:pPr>
      <w:r>
        <w:t xml:space="preserve">Site SK082 has numerous positive aspects which have determined the site’s selection as a Preferred Site. The site is a </w:t>
      </w:r>
      <w:proofErr w:type="gramStart"/>
      <w:r>
        <w:t>greenfield</w:t>
      </w:r>
      <w:proofErr w:type="gramEnd"/>
      <w:r>
        <w:t xml:space="preserve"> site s</w:t>
      </w:r>
      <w:r w:rsidR="00B86A38">
        <w:t>ituated to the west of Skipton.</w:t>
      </w:r>
    </w:p>
    <w:p w:rsidR="00B86A38" w:rsidRDefault="00FE1DE6" w:rsidP="00FE1DE6">
      <w:pPr>
        <w:jc w:val="both"/>
      </w:pPr>
      <w:r>
        <w:t xml:space="preserve">Sites SK080a, SK081, SK082 &amp; SK108 </w:t>
      </w:r>
      <w:r w:rsidR="00757BF9">
        <w:t xml:space="preserve">(Land north of Gargrave Road and west of Park Wood Drive and </w:t>
      </w:r>
      <w:proofErr w:type="spellStart"/>
      <w:r w:rsidR="00757BF9">
        <w:t>Stirtonber</w:t>
      </w:r>
      <w:proofErr w:type="spellEnd"/>
      <w:r w:rsidR="00757BF9">
        <w:t xml:space="preserve">, Skipton) </w:t>
      </w:r>
      <w:r>
        <w:t xml:space="preserve">are being considered together as a potential housing allocation.  </w:t>
      </w:r>
      <w:r w:rsidR="00B86A38">
        <w:t>Site SK082 is located within the north of this group of sites.</w:t>
      </w:r>
      <w:r>
        <w:t xml:space="preserve"> </w:t>
      </w:r>
      <w:r w:rsidR="00B86A38">
        <w:t>The site analysis set out below relates to all these sites.</w:t>
      </w:r>
    </w:p>
    <w:p w:rsidR="000E0FBF" w:rsidRDefault="00AF1864" w:rsidP="00FE1DE6">
      <w:pPr>
        <w:jc w:val="both"/>
      </w:pPr>
      <w:r w:rsidRPr="008D3AD0">
        <w:t xml:space="preserve">This is a </w:t>
      </w:r>
      <w:proofErr w:type="gramStart"/>
      <w:r w:rsidRPr="008D3AD0">
        <w:t>greenfield</w:t>
      </w:r>
      <w:proofErr w:type="gramEnd"/>
      <w:r w:rsidRPr="008D3AD0">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 Yorkshire Dales National Park, the SINC and the adjoining Skipton Conservat</w:t>
      </w:r>
      <w:r>
        <w:t>ion Area. It will also provide</w:t>
      </w:r>
      <w:r w:rsidRPr="008D3AD0">
        <w:t xml:space="preserve"> new PROW connections through the site</w:t>
      </w:r>
      <w:r>
        <w:t xml:space="preserve"> </w:t>
      </w:r>
      <w:r w:rsidRPr="008D3AD0">
        <w:t>with the existing residential area at Rockwood</w:t>
      </w:r>
      <w:r w:rsidRPr="008D3AD0">
        <w:rPr>
          <w:rFonts w:ascii="Calibri" w:hAnsi="Calibri"/>
        </w:rPr>
        <w:t xml:space="preserve">, </w:t>
      </w:r>
      <w:proofErr w:type="spellStart"/>
      <w:r w:rsidRPr="008D3AD0">
        <w:t>Aireville</w:t>
      </w:r>
      <w:proofErr w:type="spellEnd"/>
      <w:r w:rsidRPr="008D3AD0">
        <w:t xml:space="preserve"> Park and the Railway Station beyond to deliver recreational walking opportunities aimed at relieving pressure on the  North Pennines Special Protection Area (SPA) &amp; Special Area of Conservation (SAC).</w:t>
      </w:r>
      <w:r w:rsidRPr="00B272F7">
        <w:t xml:space="preserve">  </w:t>
      </w:r>
    </w:p>
    <w:p w:rsidR="00B86A38" w:rsidRDefault="00FE1DE6" w:rsidP="00FE1DE6">
      <w:pPr>
        <w:jc w:val="both"/>
      </w:pPr>
      <w:r>
        <w:t xml:space="preserve">An acceptable safe access can be achieved to the site. </w:t>
      </w:r>
      <w:r w:rsidR="006A0EC5" w:rsidRPr="006A0EC5">
        <w:t xml:space="preserve">There are several access options for this site including Gargrave Road, Parkwood Way, Park Wood Drive and White Hills Lane. </w:t>
      </w:r>
      <w:r w:rsidR="00B86A38">
        <w:t>NYCC Highways have indicated that access would be possible direct from Gargrave Road.  There is a required visibility of 60m x 2m looking east towards Skipton as within the 30 mph speed limit.  Visibility of 120m x 2m will be required westerly as this goes in to the 40 mph speed limit.</w:t>
      </w:r>
    </w:p>
    <w:p w:rsidR="006467CC" w:rsidRDefault="00264F77" w:rsidP="00F376C2">
      <w:pPr>
        <w:jc w:val="both"/>
      </w:pPr>
      <w:r w:rsidRPr="00264F77">
        <w:lastRenderedPageBreak/>
        <w:t>NYCC Education have indicated that given the likely housing growth proposed there is a need for 1 or 2 new primary schools within Skipton.  Therefore an area of land (1.8ha) in the north east corner of this group of sites is safeguarded for a new primary school unless this educational need is met elsewhere in the town. If this safeguarded area is no longer required for a primary school, as determined by the Local Education Authority and in accordance with Policy INF6, residential development will be acceptable provided any proposal meets the relevant development principles set out for the remainder of this site at policy SP5 and accords with other relevant local plan policies.</w:t>
      </w:r>
    </w:p>
    <w:p w:rsidR="006467CC" w:rsidRDefault="006467CC" w:rsidP="00F376C2">
      <w:pPr>
        <w:jc w:val="both"/>
      </w:pPr>
      <w:r w:rsidRPr="00376BA0">
        <w:t>An assessment of the site’s archaeological interest will be required with appropriate mitigation incorporated into development proposals where necessary.</w:t>
      </w:r>
    </w:p>
    <w:p w:rsidR="00F376C2" w:rsidRDefault="00F376C2" w:rsidP="00F376C2">
      <w:pPr>
        <w:jc w:val="both"/>
      </w:pPr>
      <w:r>
        <w:t xml:space="preserve">The southern portion of this group of sites running parallel to Gargrave Road is recommended as a LGS designation. </w:t>
      </w:r>
    </w:p>
    <w:p w:rsidR="00F376C2" w:rsidRDefault="00F376C2" w:rsidP="00FE1DE6">
      <w:pPr>
        <w:jc w:val="both"/>
      </w:pPr>
      <w:r>
        <w:t xml:space="preserve">The recommendation of part of this group of sites as LGS designation and the proposed location for a new primary school a smaller part of the site area submitted to the SHLAA database can be utilised. </w:t>
      </w:r>
    </w:p>
    <w:p w:rsidR="00264F77" w:rsidRPr="00264F77" w:rsidRDefault="00264F77" w:rsidP="00264F77">
      <w:pPr>
        <w:jc w:val="both"/>
      </w:pPr>
      <w:r w:rsidRPr="00264F77">
        <w:rPr>
          <w:b/>
          <w:i/>
        </w:rPr>
        <w:t>Approximate Site Area:</w:t>
      </w:r>
      <w:r w:rsidRPr="00264F77">
        <w:rPr>
          <w:b/>
        </w:rPr>
        <w:t xml:space="preserve">  </w:t>
      </w:r>
      <w:r w:rsidRPr="00264F77">
        <w:t xml:space="preserve">16 hectares </w:t>
      </w:r>
      <w:r w:rsidRPr="00264F77">
        <w:rPr>
          <w:rFonts w:cstheme="minorHAnsi"/>
        </w:rPr>
        <w:t>(including approximately 3.5ha of green infrastructure and 1.8 ha for the provision of a new school in Skipton)</w:t>
      </w:r>
    </w:p>
    <w:p w:rsidR="00264F77" w:rsidRPr="00264F77" w:rsidRDefault="00264F77" w:rsidP="00B86A38">
      <w:pPr>
        <w:rPr>
          <w:b/>
        </w:rPr>
      </w:pPr>
      <w:r w:rsidRPr="00264F77">
        <w:rPr>
          <w:b/>
          <w:i/>
        </w:rPr>
        <w:t>Approximate Number of Dwellings:</w:t>
      </w:r>
      <w:r w:rsidRPr="00264F77">
        <w:rPr>
          <w:b/>
        </w:rPr>
        <w:t xml:space="preserve"> </w:t>
      </w:r>
      <w:r w:rsidRPr="00264F77">
        <w:t xml:space="preserve"> 339 </w:t>
      </w:r>
      <w:r w:rsidR="009362CF">
        <w:t>(</w:t>
      </w:r>
      <w:r w:rsidRPr="00264F77">
        <w:t>generated from sites SK081, SK082 &amp; SK108 (incorporating site SK080a)</w:t>
      </w:r>
      <w:r w:rsidR="009362CF">
        <w:t>)</w:t>
      </w:r>
      <w:bookmarkStart w:id="0" w:name="_GoBack"/>
      <w:bookmarkEnd w:id="0"/>
      <w:r w:rsidRPr="00264F77">
        <w:t xml:space="preserve">. </w:t>
      </w:r>
    </w:p>
    <w:p w:rsidR="00B86A38" w:rsidRPr="007C4CD1" w:rsidRDefault="00B86A38" w:rsidP="00B86A38">
      <w:pPr>
        <w:rPr>
          <w:i/>
        </w:rPr>
      </w:pPr>
      <w:r w:rsidRPr="007C4CD1">
        <w:rPr>
          <w:b/>
          <w:i/>
        </w:rPr>
        <w:t>Development Principles</w:t>
      </w:r>
      <w:r>
        <w:rPr>
          <w:b/>
          <w:i/>
        </w:rPr>
        <w:t xml:space="preserve"> (relating to sites </w:t>
      </w:r>
      <w:r w:rsidRPr="001812BB">
        <w:rPr>
          <w:b/>
          <w:i/>
        </w:rPr>
        <w:t>SK080a, SK081, SK082 &amp; SK108</w:t>
      </w:r>
      <w:r>
        <w:rPr>
          <w:b/>
          <w:i/>
        </w:rPr>
        <w:t xml:space="preserve"> as a single preferred site allocation</w:t>
      </w:r>
      <w:r w:rsidRPr="001812BB">
        <w:rPr>
          <w:b/>
          <w:i/>
        </w:rPr>
        <w:t>):</w:t>
      </w:r>
      <w:r w:rsidRPr="007C4CD1">
        <w:rPr>
          <w:b/>
          <w:i/>
        </w:rPr>
        <w:t xml:space="preserve"> </w:t>
      </w: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An area of land (1.8ha) in the north east corner of the site is safeguarded for a new primary school, unless this identified educational need is met elsewhere in the town.  If this safeguarded area is no longer required for a primary school, as determined by the Local Education Authority and in accordance with Policy INF6, additional residential development will be acceptable in principle subject to meet</w:t>
      </w:r>
      <w:r>
        <w:rPr>
          <w:rFonts w:eastAsia="Arial" w:cstheme="minorHAnsi"/>
        </w:rPr>
        <w:t>ing other local plan policies;</w:t>
      </w:r>
    </w:p>
    <w:p w:rsidR="00CD34A0" w:rsidRPr="00CD34A0" w:rsidRDefault="00CD34A0" w:rsidP="00CD34A0">
      <w:pPr>
        <w:pStyle w:val="ListParagraph"/>
        <w:tabs>
          <w:tab w:val="left" w:pos="538"/>
        </w:tabs>
        <w:spacing w:before="64" w:line="228" w:lineRule="exact"/>
        <w:ind w:left="454"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 xml:space="preserve">This is a </w:t>
      </w:r>
      <w:proofErr w:type="gramStart"/>
      <w:r w:rsidRPr="00CD34A0">
        <w:rPr>
          <w:rFonts w:eastAsia="Arial" w:cstheme="minorHAnsi"/>
        </w:rPr>
        <w:t>greenfield</w:t>
      </w:r>
      <w:proofErr w:type="gramEnd"/>
      <w:r w:rsidRPr="00CD34A0">
        <w:rPr>
          <w:rFonts w:eastAsia="Arial" w:cstheme="minorHAnsi"/>
        </w:rPr>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 Yorkshire Dales National Park, the SINC and the adjoining Skipton Conservation Area.  It will also provide new PROW connections with the existing residential area at Rockwood, </w:t>
      </w:r>
      <w:proofErr w:type="spellStart"/>
      <w:r w:rsidRPr="00CD34A0">
        <w:rPr>
          <w:rFonts w:eastAsia="Arial" w:cstheme="minorHAnsi"/>
        </w:rPr>
        <w:t>Aireville</w:t>
      </w:r>
      <w:proofErr w:type="spellEnd"/>
      <w:r w:rsidRPr="00CD34A0">
        <w:rPr>
          <w:rFonts w:eastAsia="Arial" w:cstheme="minorHAnsi"/>
        </w:rPr>
        <w:t xml:space="preserve"> Park and the Railway Station beyond to deliver recreational walking opportunities aimed at relieving pressure on the North Pennines Special Protection Area (SPA) &amp; Spe</w:t>
      </w:r>
      <w:r>
        <w:rPr>
          <w:rFonts w:eastAsia="Arial" w:cstheme="minorHAnsi"/>
        </w:rPr>
        <w:t>cial Area of Conservation (SAC);</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The existing tree copses in the south east of the site will be protected, retained and improved through suitable management in order to retain existing wooded areas within the site and along the Garg</w:t>
      </w:r>
      <w:r>
        <w:rPr>
          <w:rFonts w:eastAsia="Arial" w:cstheme="minorHAnsi"/>
        </w:rPr>
        <w:t>rave Road approach into Skipton;</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lastRenderedPageBreak/>
        <w:t>Landscaping will be provided along the eastern boundary in order to lessen the impact of development on existing residents on the Rockwood Estate, and to provide opportunities for pedestrian lin</w:t>
      </w:r>
      <w:r>
        <w:rPr>
          <w:rFonts w:eastAsia="Arial" w:cstheme="minorHAnsi"/>
        </w:rPr>
        <w:t>ks to the existing PROW network;</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 xml:space="preserve">Development proposals on this site will incorporate the maintenance and restoration of the existing stone boundary walls and tree copses on the site in order to retain the existing </w:t>
      </w:r>
      <w:r>
        <w:rPr>
          <w:rFonts w:eastAsia="Arial" w:cstheme="minorHAnsi"/>
        </w:rPr>
        <w:t>landscape character of the site;</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An area of land to the south of the site adjacent to Gargrave Road is designated as a Local Green Space designation (LGS) in Policy ENV10, therefore any proposed development scheme will be designed to ensure that this area of land is retained as open land and that development proposals comply with</w:t>
      </w:r>
      <w:r>
        <w:rPr>
          <w:rFonts w:eastAsia="Arial" w:cstheme="minorHAnsi"/>
        </w:rPr>
        <w:t xml:space="preserve"> the provisions of Policy ENV10;</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The siting and design of development on the site to conserve the setting of the Skipton Conservation Area, which adjoins the site to the s</w:t>
      </w:r>
      <w:r>
        <w:rPr>
          <w:rFonts w:eastAsia="Arial" w:cstheme="minorHAnsi"/>
        </w:rPr>
        <w:t>outh and south west of the site;</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Proposals must demonstrate that development along the south west edge of the site would not have an urbanising effect on the setting of the Skipton Conservation Area by retaining the existing open aspect of the area proposed as LGS</w:t>
      </w:r>
      <w:r>
        <w:rPr>
          <w:rFonts w:eastAsia="Arial" w:cstheme="minorHAnsi"/>
        </w:rPr>
        <w:t>, immediately south of the site;</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line="228" w:lineRule="exact"/>
        <w:ind w:left="454" w:right="264" w:hanging="283"/>
        <w:rPr>
          <w:rFonts w:eastAsia="Arial" w:cstheme="minorHAnsi"/>
        </w:rPr>
      </w:pPr>
      <w:r w:rsidRPr="00CD34A0">
        <w:rPr>
          <w:rFonts w:eastAsia="Arial" w:cstheme="minorHAnsi"/>
          <w:iCs/>
        </w:rPr>
        <w:t xml:space="preserve">An assessment of the site’s archaeological interest will be required with appropriate mitigation incorporated into development </w:t>
      </w:r>
      <w:r>
        <w:rPr>
          <w:rFonts w:eastAsia="Arial" w:cstheme="minorHAnsi"/>
          <w:iCs/>
        </w:rPr>
        <w:t>proposals where necessary;</w:t>
      </w:r>
    </w:p>
    <w:p w:rsidR="00CD34A0" w:rsidRPr="00CD34A0" w:rsidRDefault="00CD34A0" w:rsidP="00CD34A0">
      <w:pPr>
        <w:tabs>
          <w:tab w:val="left" w:pos="538"/>
        </w:tabs>
        <w:spacing w:line="228" w:lineRule="exact"/>
        <w:ind w:right="264"/>
        <w:rPr>
          <w:rFonts w:eastAsia="Arial" w:cstheme="minorHAnsi"/>
        </w:rPr>
      </w:pPr>
    </w:p>
    <w:p w:rsidR="00CD34A0" w:rsidRPr="00CD34A0" w:rsidRDefault="00CD34A0" w:rsidP="00CD34A0">
      <w:pPr>
        <w:pStyle w:val="ListParagraph"/>
        <w:numPr>
          <w:ilvl w:val="0"/>
          <w:numId w:val="15"/>
        </w:numPr>
        <w:tabs>
          <w:tab w:val="left" w:pos="538"/>
        </w:tabs>
        <w:spacing w:before="64" w:line="228" w:lineRule="exact"/>
        <w:ind w:left="454" w:right="264" w:hanging="283"/>
        <w:rPr>
          <w:rFonts w:eastAsia="Arial" w:cstheme="minorHAnsi"/>
        </w:rPr>
      </w:pPr>
      <w:r w:rsidRPr="00CD34A0">
        <w:rPr>
          <w:rFonts w:eastAsia="Arial" w:cstheme="minorHAnsi"/>
        </w:rPr>
        <w:t xml:space="preserve">The site is a </w:t>
      </w:r>
      <w:proofErr w:type="gramStart"/>
      <w:r w:rsidRPr="00CD34A0">
        <w:rPr>
          <w:rFonts w:eastAsia="Arial" w:cstheme="minorHAnsi"/>
        </w:rPr>
        <w:t>greenfield</w:t>
      </w:r>
      <w:proofErr w:type="gramEnd"/>
      <w:r w:rsidRPr="00CD34A0">
        <w:rPr>
          <w:rFonts w:eastAsia="Arial" w:cstheme="minorHAnsi"/>
        </w:rPr>
        <w:t xml:space="preserve"> site in a prominent position on the edge of Skipton. Development proposals will be carefully and sensitively designed to minimise visual impact on the character and appearance of the area, and include measures to minimise impacts on air qua</w:t>
      </w:r>
      <w:r>
        <w:rPr>
          <w:rFonts w:eastAsia="Arial" w:cstheme="minorHAnsi"/>
        </w:rPr>
        <w:t>lity, noise and light pollution;</w:t>
      </w:r>
    </w:p>
    <w:p w:rsidR="00CD34A0" w:rsidRPr="00CD34A0" w:rsidRDefault="00CD34A0" w:rsidP="00CD34A0">
      <w:pPr>
        <w:tabs>
          <w:tab w:val="left" w:pos="538"/>
        </w:tabs>
        <w:spacing w:before="64" w:line="228" w:lineRule="exact"/>
        <w:ind w:right="264"/>
        <w:rPr>
          <w:rFonts w:eastAsia="Arial" w:cstheme="minorHAnsi"/>
        </w:rPr>
      </w:pPr>
    </w:p>
    <w:p w:rsidR="00CD34A0" w:rsidRPr="00CD34A0" w:rsidRDefault="00CD34A0" w:rsidP="00CD34A0">
      <w:pPr>
        <w:numPr>
          <w:ilvl w:val="0"/>
          <w:numId w:val="16"/>
        </w:numPr>
        <w:tabs>
          <w:tab w:val="left" w:pos="738"/>
        </w:tabs>
        <w:spacing w:before="64" w:line="228" w:lineRule="exact"/>
        <w:ind w:left="454" w:right="264" w:hanging="199"/>
        <w:rPr>
          <w:rFonts w:eastAsia="Arial" w:cstheme="minorHAnsi"/>
        </w:rPr>
      </w:pPr>
      <w:r w:rsidRPr="00CD34A0">
        <w:rPr>
          <w:rFonts w:eastAsia="Arial" w:cstheme="minorHAnsi"/>
        </w:rPr>
        <w:t>There are several access options for this site including Gargrave Road, Parkwood Way, Park Wood Drive and White Hills Lane. A Traffic Imp</w:t>
      </w:r>
      <w:r>
        <w:rPr>
          <w:rFonts w:eastAsia="Arial" w:cstheme="minorHAnsi"/>
        </w:rPr>
        <w:t>act Assessment will be required;</w:t>
      </w:r>
    </w:p>
    <w:p w:rsidR="00CD34A0" w:rsidRPr="00CD34A0" w:rsidRDefault="00CD34A0" w:rsidP="00CD34A0">
      <w:pPr>
        <w:tabs>
          <w:tab w:val="left" w:pos="738"/>
        </w:tabs>
        <w:spacing w:before="64" w:line="228" w:lineRule="exact"/>
        <w:ind w:left="454" w:right="264"/>
        <w:rPr>
          <w:rFonts w:eastAsia="Arial" w:cstheme="minorHAnsi"/>
        </w:rPr>
      </w:pPr>
    </w:p>
    <w:p w:rsidR="00CD34A0" w:rsidRPr="00CD34A0" w:rsidRDefault="00CD34A0" w:rsidP="00CD34A0">
      <w:pPr>
        <w:numPr>
          <w:ilvl w:val="0"/>
          <w:numId w:val="16"/>
        </w:numPr>
        <w:tabs>
          <w:tab w:val="left" w:pos="596"/>
          <w:tab w:val="left" w:pos="738"/>
        </w:tabs>
        <w:spacing w:before="64" w:line="228" w:lineRule="exact"/>
        <w:ind w:left="454" w:right="264" w:hanging="199"/>
        <w:rPr>
          <w:rFonts w:eastAsia="Arial" w:cstheme="minorHAnsi"/>
        </w:rPr>
      </w:pPr>
      <w:r w:rsidRPr="00CD34A0">
        <w:rPr>
          <w:rFonts w:eastAsia="Arial" w:cstheme="minorHAnsi"/>
        </w:rPr>
        <w:lastRenderedPageBreak/>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Arial" w:cstheme="minorHAnsi"/>
        </w:rPr>
        <w:t>appropriately reduced or offset;</w:t>
      </w:r>
    </w:p>
    <w:p w:rsidR="00CD34A0" w:rsidRPr="00CD34A0" w:rsidRDefault="00CD34A0" w:rsidP="00CD34A0">
      <w:pPr>
        <w:tabs>
          <w:tab w:val="left" w:pos="596"/>
          <w:tab w:val="left" w:pos="738"/>
        </w:tabs>
        <w:spacing w:before="64" w:line="228" w:lineRule="exact"/>
        <w:ind w:right="264"/>
        <w:rPr>
          <w:rFonts w:eastAsia="Arial" w:cstheme="minorHAnsi"/>
        </w:rPr>
      </w:pPr>
    </w:p>
    <w:p w:rsidR="00CD34A0" w:rsidRPr="00CD34A0" w:rsidRDefault="00CD34A0" w:rsidP="00CD34A0">
      <w:pPr>
        <w:numPr>
          <w:ilvl w:val="0"/>
          <w:numId w:val="16"/>
        </w:numPr>
        <w:tabs>
          <w:tab w:val="left" w:pos="596"/>
          <w:tab w:val="left" w:pos="738"/>
        </w:tabs>
        <w:spacing w:before="64" w:line="228" w:lineRule="exact"/>
        <w:ind w:left="454" w:right="264" w:hanging="199"/>
        <w:rPr>
          <w:rFonts w:eastAsia="Arial" w:cstheme="minorHAnsi"/>
        </w:rPr>
      </w:pPr>
      <w:r w:rsidRPr="00CD34A0">
        <w:rPr>
          <w:rFonts w:eastAsia="Arial" w:cstheme="minorHAnsi"/>
        </w:rPr>
        <w:t>There is a requirement for a Biodiversity Appraisal to assess the existing ecological conditions on the site, including biodiversity within the adjoining SINC. This is to be accompanied by a standardised Biodiversity Mitigation Plan (BMP) which must cover matters of both habitat and protected species, with the aim that negative effects on biodiversity are avoided or suitably offset, and enha</w:t>
      </w:r>
      <w:r>
        <w:rPr>
          <w:rFonts w:eastAsia="Arial" w:cstheme="minorHAnsi"/>
        </w:rPr>
        <w:t>ncement effects are implemented;</w:t>
      </w:r>
    </w:p>
    <w:p w:rsidR="00CD34A0" w:rsidRPr="00CD34A0" w:rsidRDefault="00CD34A0" w:rsidP="00CD34A0">
      <w:pPr>
        <w:tabs>
          <w:tab w:val="left" w:pos="596"/>
          <w:tab w:val="left" w:pos="738"/>
        </w:tabs>
        <w:spacing w:before="64" w:line="228" w:lineRule="exact"/>
        <w:ind w:right="264"/>
        <w:rPr>
          <w:rFonts w:eastAsia="Arial" w:cstheme="minorHAnsi"/>
        </w:rPr>
      </w:pPr>
    </w:p>
    <w:p w:rsidR="00CD34A0" w:rsidRPr="00CD34A0" w:rsidRDefault="00CD34A0" w:rsidP="00CD34A0">
      <w:pPr>
        <w:numPr>
          <w:ilvl w:val="0"/>
          <w:numId w:val="16"/>
        </w:numPr>
        <w:tabs>
          <w:tab w:val="left" w:pos="596"/>
          <w:tab w:val="left" w:pos="738"/>
        </w:tabs>
        <w:spacing w:before="64" w:line="228" w:lineRule="exact"/>
        <w:ind w:left="454" w:right="264" w:hanging="199"/>
        <w:rPr>
          <w:rFonts w:eastAsia="Arial" w:cstheme="minorHAnsi"/>
        </w:rPr>
      </w:pPr>
      <w:r w:rsidRPr="00CD34A0">
        <w:rPr>
          <w:rFonts w:eastAsia="Arial" w:cstheme="minorHAnsi"/>
        </w:rPr>
        <w:t xml:space="preserve">Before any development takes place, a comprehensive Masterplan for the site shall be produced in consultation with relevant stakeholders and to the satisfaction of the local planning authority, to ensure that development of the site comes forward in a coordinated way. The Masterplan will define areas of green infrastructure based on the second development principle set out above; show land safeguarded for a new primary school, if required; demonstrate connectivity of the site with the surrounding area and PROW network and will demonstrate how all the development principles for </w:t>
      </w:r>
      <w:r>
        <w:rPr>
          <w:rFonts w:eastAsia="Arial" w:cstheme="minorHAnsi"/>
        </w:rPr>
        <w:t>this site area to be addressed;</w:t>
      </w:r>
    </w:p>
    <w:p w:rsidR="00CD34A0" w:rsidRPr="00CD34A0" w:rsidRDefault="00CD34A0" w:rsidP="00CD34A0">
      <w:pPr>
        <w:tabs>
          <w:tab w:val="left" w:pos="596"/>
          <w:tab w:val="left" w:pos="738"/>
        </w:tabs>
        <w:spacing w:before="64" w:line="228" w:lineRule="exact"/>
        <w:ind w:right="264"/>
        <w:rPr>
          <w:rFonts w:eastAsia="Arial" w:cstheme="minorHAnsi"/>
        </w:rPr>
      </w:pPr>
    </w:p>
    <w:p w:rsidR="00CD34A0" w:rsidRPr="00CD34A0" w:rsidRDefault="00CD34A0" w:rsidP="00CD34A0">
      <w:pPr>
        <w:numPr>
          <w:ilvl w:val="0"/>
          <w:numId w:val="16"/>
        </w:numPr>
        <w:tabs>
          <w:tab w:val="left" w:pos="454"/>
        </w:tabs>
        <w:spacing w:before="64" w:line="228" w:lineRule="exact"/>
        <w:ind w:left="539" w:right="264"/>
        <w:rPr>
          <w:rFonts w:eastAsia="Arial" w:cstheme="minorHAnsi"/>
        </w:rPr>
      </w:pPr>
      <w:r w:rsidRPr="00CD34A0">
        <w:rPr>
          <w:rFonts w:eastAsia="Arial" w:cstheme="minorHAnsi"/>
        </w:rPr>
        <w:t>Development proposals will be required to contribute towards the provision of highway improvements, in accordance with Policy INF7, at the following locations:</w:t>
      </w:r>
    </w:p>
    <w:p w:rsidR="00CD34A0" w:rsidRPr="00CD34A0" w:rsidRDefault="00CD34A0" w:rsidP="00CD34A0">
      <w:pPr>
        <w:tabs>
          <w:tab w:val="left" w:pos="454"/>
        </w:tabs>
        <w:spacing w:before="64" w:line="228" w:lineRule="exact"/>
        <w:ind w:right="264" w:firstLine="992"/>
        <w:rPr>
          <w:rFonts w:eastAsia="Arial" w:cstheme="minorHAnsi"/>
        </w:rPr>
      </w:pPr>
      <w:r w:rsidRPr="00CD34A0">
        <w:rPr>
          <w:rFonts w:eastAsia="Arial" w:cstheme="minorHAnsi"/>
        </w:rPr>
        <w:t>a) The A65/Gargrave Road/A629/A59 junction; and</w:t>
      </w:r>
    </w:p>
    <w:p w:rsidR="00CD34A0" w:rsidRPr="00CD34A0" w:rsidRDefault="00CD34A0" w:rsidP="00CD34A0">
      <w:pPr>
        <w:tabs>
          <w:tab w:val="left" w:pos="454"/>
        </w:tabs>
        <w:spacing w:before="64" w:line="228" w:lineRule="exact"/>
        <w:ind w:right="264" w:firstLine="992"/>
        <w:rPr>
          <w:rFonts w:eastAsia="Arial" w:cstheme="minorHAnsi"/>
        </w:rPr>
      </w:pPr>
      <w:r w:rsidRPr="00CD34A0">
        <w:rPr>
          <w:rFonts w:eastAsia="Arial" w:cstheme="minorHAnsi"/>
        </w:rPr>
        <w:t xml:space="preserve">b) </w:t>
      </w:r>
      <w:proofErr w:type="gramStart"/>
      <w:r w:rsidRPr="00CD34A0">
        <w:rPr>
          <w:rFonts w:eastAsia="Arial" w:cstheme="minorHAnsi"/>
        </w:rPr>
        <w:t>t</w:t>
      </w:r>
      <w:r>
        <w:rPr>
          <w:rFonts w:eastAsia="Arial" w:cstheme="minorHAnsi"/>
        </w:rPr>
        <w:t>he</w:t>
      </w:r>
      <w:proofErr w:type="gramEnd"/>
      <w:r>
        <w:rPr>
          <w:rFonts w:eastAsia="Arial" w:cstheme="minorHAnsi"/>
        </w:rPr>
        <w:t xml:space="preserve"> A6131/A65 junction;</w:t>
      </w:r>
    </w:p>
    <w:p w:rsidR="00CD34A0" w:rsidRPr="00CD34A0" w:rsidRDefault="00CD34A0" w:rsidP="00CD34A0">
      <w:pPr>
        <w:tabs>
          <w:tab w:val="left" w:pos="454"/>
        </w:tabs>
        <w:spacing w:before="64" w:line="228" w:lineRule="exact"/>
        <w:ind w:left="1200" w:right="264"/>
        <w:rPr>
          <w:rFonts w:eastAsia="Arial" w:cstheme="minorHAnsi"/>
        </w:rPr>
      </w:pPr>
    </w:p>
    <w:p w:rsidR="00CD34A0" w:rsidRPr="00CD34A0" w:rsidRDefault="00CD34A0" w:rsidP="00CD34A0">
      <w:pPr>
        <w:numPr>
          <w:ilvl w:val="0"/>
          <w:numId w:val="16"/>
        </w:numPr>
        <w:tabs>
          <w:tab w:val="left" w:pos="454"/>
        </w:tabs>
        <w:spacing w:before="64" w:line="228" w:lineRule="exact"/>
        <w:ind w:left="539" w:right="264"/>
        <w:rPr>
          <w:rFonts w:eastAsia="Arial" w:cstheme="minorHAnsi"/>
        </w:rPr>
      </w:pPr>
      <w:r w:rsidRPr="00CD34A0">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B86A38" w:rsidRPr="00C81077" w:rsidRDefault="00B86A38" w:rsidP="00CD34A0">
      <w:pPr>
        <w:rPr>
          <w:rFonts w:cstheme="minorHAnsi"/>
        </w:rPr>
      </w:pPr>
    </w:p>
    <w:p w:rsidR="00C1109B" w:rsidRPr="00C1109B" w:rsidRDefault="00C1109B">
      <w:pPr>
        <w:rPr>
          <w:b/>
        </w:rPr>
      </w:pPr>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A38" w:rsidRDefault="00B86A38" w:rsidP="00FC3903">
      <w:pPr>
        <w:spacing w:after="0" w:line="240" w:lineRule="auto"/>
      </w:pPr>
      <w:r>
        <w:separator/>
      </w:r>
    </w:p>
  </w:endnote>
  <w:endnote w:type="continuationSeparator" w:id="0">
    <w:p w:rsidR="00B86A38" w:rsidRDefault="00B86A38"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B86A38" w:rsidRDefault="00B86A38">
        <w:pPr>
          <w:pStyle w:val="Footer"/>
          <w:jc w:val="center"/>
        </w:pPr>
        <w:r>
          <w:fldChar w:fldCharType="begin"/>
        </w:r>
        <w:r>
          <w:instrText xml:space="preserve"> PAGE   \* MERGEFORMAT </w:instrText>
        </w:r>
        <w:r>
          <w:fldChar w:fldCharType="separate"/>
        </w:r>
        <w:r w:rsidR="009362CF">
          <w:rPr>
            <w:noProof/>
          </w:rPr>
          <w:t>4</w:t>
        </w:r>
        <w:r>
          <w:rPr>
            <w:noProof/>
          </w:rPr>
          <w:fldChar w:fldCharType="end"/>
        </w:r>
      </w:p>
    </w:sdtContent>
  </w:sdt>
  <w:p w:rsidR="00B86A38" w:rsidRDefault="00B86A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A38" w:rsidRDefault="00B86A38" w:rsidP="00FC3903">
      <w:pPr>
        <w:spacing w:after="0" w:line="240" w:lineRule="auto"/>
      </w:pPr>
      <w:r>
        <w:separator/>
      </w:r>
    </w:p>
  </w:footnote>
  <w:footnote w:type="continuationSeparator" w:id="0">
    <w:p w:rsidR="00B86A38" w:rsidRDefault="00B86A38"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1547BB"/>
    <w:multiLevelType w:val="hybridMultilevel"/>
    <w:tmpl w:val="3126E16C"/>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D60189"/>
    <w:multiLevelType w:val="hybridMultilevel"/>
    <w:tmpl w:val="319A353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D368EE"/>
    <w:multiLevelType w:val="hybridMultilevel"/>
    <w:tmpl w:val="034CBFAA"/>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C4140C"/>
    <w:multiLevelType w:val="hybridMultilevel"/>
    <w:tmpl w:val="D0306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07790E"/>
    <w:multiLevelType w:val="hybridMultilevel"/>
    <w:tmpl w:val="6930E59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A830479"/>
    <w:multiLevelType w:val="hybridMultilevel"/>
    <w:tmpl w:val="72A8064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nsid w:val="7B610A9E"/>
    <w:multiLevelType w:val="hybridMultilevel"/>
    <w:tmpl w:val="253AA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BC1E5F"/>
    <w:multiLevelType w:val="hybridMultilevel"/>
    <w:tmpl w:val="A0DA7B5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nsid w:val="7F54111B"/>
    <w:multiLevelType w:val="hybridMultilevel"/>
    <w:tmpl w:val="B3F089A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0"/>
  </w:num>
  <w:num w:numId="4">
    <w:abstractNumId w:val="11"/>
  </w:num>
  <w:num w:numId="5">
    <w:abstractNumId w:val="9"/>
  </w:num>
  <w:num w:numId="6">
    <w:abstractNumId w:val="2"/>
  </w:num>
  <w:num w:numId="7">
    <w:abstractNumId w:val="8"/>
  </w:num>
  <w:num w:numId="8">
    <w:abstractNumId w:val="7"/>
  </w:num>
  <w:num w:numId="9">
    <w:abstractNumId w:val="12"/>
  </w:num>
  <w:num w:numId="10">
    <w:abstractNumId w:val="15"/>
  </w:num>
  <w:num w:numId="11">
    <w:abstractNumId w:val="4"/>
  </w:num>
  <w:num w:numId="12">
    <w:abstractNumId w:val="10"/>
  </w:num>
  <w:num w:numId="13">
    <w:abstractNumId w:val="13"/>
  </w:num>
  <w:num w:numId="14">
    <w:abstractNumId w:val="14"/>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50EB2"/>
    <w:rsid w:val="000558A3"/>
    <w:rsid w:val="000D020A"/>
    <w:rsid w:val="000E0FBF"/>
    <w:rsid w:val="000F34EC"/>
    <w:rsid w:val="00123F10"/>
    <w:rsid w:val="00181B84"/>
    <w:rsid w:val="00264F77"/>
    <w:rsid w:val="002C0460"/>
    <w:rsid w:val="003E78CD"/>
    <w:rsid w:val="00486081"/>
    <w:rsid w:val="0048658D"/>
    <w:rsid w:val="0053462A"/>
    <w:rsid w:val="005E06D9"/>
    <w:rsid w:val="006467CC"/>
    <w:rsid w:val="00664307"/>
    <w:rsid w:val="006A0E5C"/>
    <w:rsid w:val="006A0EC5"/>
    <w:rsid w:val="00740D98"/>
    <w:rsid w:val="00757BF9"/>
    <w:rsid w:val="00776515"/>
    <w:rsid w:val="007B31C5"/>
    <w:rsid w:val="007C4CD1"/>
    <w:rsid w:val="00834C80"/>
    <w:rsid w:val="009362CF"/>
    <w:rsid w:val="009F44F0"/>
    <w:rsid w:val="00A6168D"/>
    <w:rsid w:val="00AF1864"/>
    <w:rsid w:val="00AF5367"/>
    <w:rsid w:val="00B11693"/>
    <w:rsid w:val="00B21C52"/>
    <w:rsid w:val="00B32A69"/>
    <w:rsid w:val="00B86A38"/>
    <w:rsid w:val="00BD3891"/>
    <w:rsid w:val="00C1109B"/>
    <w:rsid w:val="00C22154"/>
    <w:rsid w:val="00C53712"/>
    <w:rsid w:val="00C81077"/>
    <w:rsid w:val="00CD34A0"/>
    <w:rsid w:val="00CD432F"/>
    <w:rsid w:val="00E22A10"/>
    <w:rsid w:val="00E316B6"/>
    <w:rsid w:val="00E67360"/>
    <w:rsid w:val="00F2287F"/>
    <w:rsid w:val="00F376C2"/>
    <w:rsid w:val="00F62C30"/>
    <w:rsid w:val="00F62E2A"/>
    <w:rsid w:val="00F80841"/>
    <w:rsid w:val="00F85A12"/>
    <w:rsid w:val="00FC3903"/>
    <w:rsid w:val="00FD53CF"/>
    <w:rsid w:val="00FE1D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13878-070B-46E1-9D52-8B7C3559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13</cp:revision>
  <dcterms:created xsi:type="dcterms:W3CDTF">2017-10-30T15:48:00Z</dcterms:created>
  <dcterms:modified xsi:type="dcterms:W3CDTF">2019-11-07T11:33:00Z</dcterms:modified>
</cp:coreProperties>
</file>